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5F" w:rsidRDefault="00330D23">
      <w:pPr>
        <w:pStyle w:val="1"/>
        <w:spacing w:before="0" w:after="0" w:line="584" w:lineRule="exact"/>
        <w:jc w:val="center"/>
        <w:rPr>
          <w:rFonts w:ascii="仿宋" w:eastAsia="仿宋" w:hAnsi="仿宋"/>
          <w:b w:val="0"/>
          <w:color w:val="000000"/>
          <w:kern w:val="0"/>
        </w:rPr>
      </w:pPr>
      <w:r>
        <w:rPr>
          <w:rFonts w:ascii="仿宋" w:eastAsia="仿宋" w:hAnsi="仿宋"/>
          <w:b w:val="0"/>
          <w:color w:val="000000"/>
          <w:kern w:val="0"/>
        </w:rPr>
        <w:t>第三部分部门决算情况说明</w:t>
      </w:r>
    </w:p>
    <w:p w:rsidR="00EB675F" w:rsidRDefault="00EB675F"/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一、收入</w:t>
      </w:r>
      <w:r>
        <w:rPr>
          <w:rFonts w:ascii="Times New Roman" w:eastAsia="黑体" w:hAnsi="Times New Roman"/>
          <w:b w:val="0"/>
          <w:kern w:val="0"/>
        </w:rPr>
        <w:t>支出</w:t>
      </w:r>
      <w:r>
        <w:rPr>
          <w:rFonts w:ascii="Times New Roman" w:eastAsia="黑体" w:hAnsi="Times New Roman"/>
          <w:b w:val="0"/>
        </w:rPr>
        <w:t>决算总体情况说明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本部门2017年度年初结转和结余</w:t>
      </w:r>
      <w:r>
        <w:rPr>
          <w:rFonts w:ascii="仿宋" w:eastAsia="仿宋" w:hAnsi="仿宋" w:hint="eastAsia"/>
          <w:sz w:val="32"/>
          <w:szCs w:val="32"/>
        </w:rPr>
        <w:t>21.34</w:t>
      </w:r>
      <w:r>
        <w:rPr>
          <w:rFonts w:ascii="仿宋" w:eastAsia="仿宋" w:hAnsi="仿宋"/>
          <w:sz w:val="32"/>
          <w:szCs w:val="32"/>
        </w:rPr>
        <w:t>万元，本年收入</w:t>
      </w:r>
      <w:r>
        <w:rPr>
          <w:rFonts w:ascii="仿宋" w:eastAsia="仿宋" w:hAnsi="仿宋" w:hint="eastAsia"/>
          <w:sz w:val="32"/>
          <w:szCs w:val="32"/>
        </w:rPr>
        <w:t>228.33</w:t>
      </w:r>
      <w:r>
        <w:rPr>
          <w:rFonts w:ascii="仿宋" w:eastAsia="仿宋" w:hAnsi="仿宋"/>
          <w:sz w:val="32"/>
          <w:szCs w:val="32"/>
        </w:rPr>
        <w:t>万元；本年支出</w:t>
      </w:r>
      <w:r>
        <w:rPr>
          <w:rFonts w:ascii="仿宋" w:eastAsia="仿宋" w:hAnsi="仿宋" w:hint="eastAsia"/>
          <w:sz w:val="32"/>
          <w:szCs w:val="32"/>
        </w:rPr>
        <w:t>218.59</w:t>
      </w:r>
      <w:r>
        <w:rPr>
          <w:rFonts w:ascii="仿宋" w:eastAsia="仿宋" w:hAnsi="仿宋"/>
          <w:sz w:val="32"/>
          <w:szCs w:val="32"/>
        </w:rPr>
        <w:t>万元、年末结转和结余</w:t>
      </w:r>
      <w:r>
        <w:rPr>
          <w:rFonts w:ascii="仿宋" w:eastAsia="仿宋" w:hAnsi="仿宋" w:hint="eastAsia"/>
          <w:sz w:val="32"/>
          <w:szCs w:val="32"/>
        </w:rPr>
        <w:t>31.08</w:t>
      </w:r>
      <w:r>
        <w:rPr>
          <w:rFonts w:ascii="仿宋" w:eastAsia="仿宋" w:hAnsi="仿宋"/>
          <w:sz w:val="32"/>
          <w:szCs w:val="32"/>
        </w:rPr>
        <w:t>万元。与2016年度决算相比，本年收入增加</w:t>
      </w:r>
      <w:r>
        <w:rPr>
          <w:rFonts w:ascii="仿宋" w:eastAsia="仿宋" w:hAnsi="仿宋" w:hint="eastAsia"/>
          <w:sz w:val="32"/>
          <w:szCs w:val="32"/>
        </w:rPr>
        <w:t>35.66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18.51</w:t>
      </w:r>
      <w:r>
        <w:rPr>
          <w:rFonts w:ascii="仿宋" w:eastAsia="仿宋" w:hAnsi="仿宋"/>
          <w:sz w:val="32"/>
          <w:szCs w:val="32"/>
        </w:rPr>
        <w:t>%，主要是</w:t>
      </w:r>
      <w:r>
        <w:rPr>
          <w:rFonts w:ascii="仿宋" w:eastAsia="仿宋" w:hAnsi="仿宋" w:hint="eastAsia"/>
          <w:sz w:val="32"/>
          <w:szCs w:val="32"/>
        </w:rPr>
        <w:t>财政拨款增加</w:t>
      </w:r>
      <w:r>
        <w:rPr>
          <w:rFonts w:ascii="仿宋" w:eastAsia="仿宋" w:hAnsi="仿宋"/>
          <w:sz w:val="32"/>
          <w:szCs w:val="32"/>
        </w:rPr>
        <w:t>；本年支出增加</w:t>
      </w:r>
      <w:r>
        <w:rPr>
          <w:rFonts w:ascii="仿宋" w:eastAsia="仿宋" w:hAnsi="仿宋" w:hint="eastAsia"/>
          <w:sz w:val="32"/>
          <w:szCs w:val="32"/>
        </w:rPr>
        <w:t>34.09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18.48</w:t>
      </w:r>
      <w:r>
        <w:rPr>
          <w:rFonts w:ascii="仿宋" w:eastAsia="仿宋" w:hAnsi="仿宋"/>
          <w:sz w:val="32"/>
          <w:szCs w:val="32"/>
        </w:rPr>
        <w:t>%，主要是</w:t>
      </w:r>
      <w:r>
        <w:rPr>
          <w:rFonts w:ascii="仿宋" w:eastAsia="仿宋" w:hAnsi="仿宋" w:hint="eastAsia"/>
          <w:sz w:val="32"/>
          <w:szCs w:val="32"/>
        </w:rPr>
        <w:t>财政拨款增加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330D23">
      <w:pPr>
        <w:pStyle w:val="2"/>
        <w:adjustRightInd w:val="0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二、收入决算情况说明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仿宋" w:eastAsia="仿宋" w:hAnsi="仿宋"/>
          <w:b w:val="0"/>
        </w:rPr>
      </w:pPr>
      <w:r>
        <w:rPr>
          <w:rFonts w:ascii="仿宋" w:eastAsia="仿宋" w:hAnsi="仿宋"/>
          <w:b w:val="0"/>
        </w:rPr>
        <w:t>本部门2017年度本年收入合计</w:t>
      </w:r>
      <w:r>
        <w:rPr>
          <w:rFonts w:ascii="仿宋" w:eastAsia="仿宋" w:hAnsi="仿宋" w:hint="eastAsia"/>
          <w:b w:val="0"/>
        </w:rPr>
        <w:t>228.33</w:t>
      </w:r>
      <w:r>
        <w:rPr>
          <w:rFonts w:ascii="仿宋" w:eastAsia="仿宋" w:hAnsi="仿宋"/>
          <w:b w:val="0"/>
        </w:rPr>
        <w:t>万元，其中：财政拨款收入</w:t>
      </w:r>
      <w:r>
        <w:rPr>
          <w:rFonts w:ascii="仿宋" w:eastAsia="仿宋" w:hAnsi="仿宋" w:hint="eastAsia"/>
          <w:b w:val="0"/>
        </w:rPr>
        <w:t>228.33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100</w:t>
      </w:r>
      <w:r>
        <w:rPr>
          <w:rFonts w:ascii="仿宋" w:eastAsia="仿宋" w:hAnsi="仿宋"/>
          <w:b w:val="0"/>
        </w:rPr>
        <w:t>%；事业收入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%；经营收入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%；其他收入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%。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黑体" w:eastAsia="黑体" w:hAnsi="黑体"/>
          <w:b w:val="0"/>
        </w:rPr>
      </w:pPr>
      <w:r>
        <w:rPr>
          <w:rFonts w:ascii="黑体" w:eastAsia="黑体" w:hAnsi="黑体"/>
          <w:b w:val="0"/>
        </w:rPr>
        <w:t>三、支出决算情况说明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仿宋" w:eastAsia="仿宋" w:hAnsi="仿宋"/>
          <w:b w:val="0"/>
        </w:rPr>
      </w:pPr>
      <w:r>
        <w:rPr>
          <w:rFonts w:ascii="仿宋" w:eastAsia="仿宋" w:hAnsi="仿宋"/>
          <w:b w:val="0"/>
        </w:rPr>
        <w:t>本部门2017年度本年支出合计</w:t>
      </w:r>
      <w:r>
        <w:rPr>
          <w:rFonts w:ascii="仿宋" w:eastAsia="仿宋" w:hAnsi="仿宋" w:hint="eastAsia"/>
          <w:b w:val="0"/>
        </w:rPr>
        <w:t>218.59</w:t>
      </w:r>
      <w:r>
        <w:rPr>
          <w:rFonts w:ascii="仿宋" w:eastAsia="仿宋" w:hAnsi="仿宋"/>
          <w:b w:val="0"/>
        </w:rPr>
        <w:t>万元，其中：基本支出</w:t>
      </w:r>
      <w:r>
        <w:rPr>
          <w:rFonts w:ascii="仿宋" w:eastAsia="仿宋" w:hAnsi="仿宋" w:hint="eastAsia"/>
          <w:b w:val="0"/>
        </w:rPr>
        <w:t>218.59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100</w:t>
      </w:r>
      <w:r>
        <w:rPr>
          <w:rFonts w:ascii="仿宋" w:eastAsia="仿宋" w:hAnsi="仿宋"/>
          <w:b w:val="0"/>
        </w:rPr>
        <w:t>%；项目支出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%；经营支出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%。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四、</w:t>
      </w:r>
      <w:r>
        <w:rPr>
          <w:rFonts w:ascii="Times New Roman" w:eastAsia="黑体" w:hAnsi="Times New Roman"/>
          <w:b w:val="0"/>
          <w:kern w:val="0"/>
        </w:rPr>
        <w:t>财政</w:t>
      </w:r>
      <w:r>
        <w:rPr>
          <w:rFonts w:ascii="Times New Roman" w:eastAsia="黑体" w:hAnsi="Times New Roman"/>
          <w:b w:val="0"/>
        </w:rPr>
        <w:t>拨款收入支出决算总体情况说明</w:t>
      </w:r>
    </w:p>
    <w:p w:rsidR="00EB675F" w:rsidRDefault="00330D23">
      <w:pPr>
        <w:spacing w:line="584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（一）财政拨款收支与2016 年度决算对比情况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本部门2017年度财政拨款收支全部为一般公共预算财政拨款收支。一般公共预算财政拨款年初结转和结余</w:t>
      </w:r>
      <w:r>
        <w:rPr>
          <w:rFonts w:ascii="仿宋" w:eastAsia="仿宋" w:hAnsi="仿宋" w:hint="eastAsia"/>
          <w:sz w:val="32"/>
          <w:szCs w:val="32"/>
        </w:rPr>
        <w:t>21.34</w:t>
      </w:r>
      <w:r>
        <w:rPr>
          <w:rFonts w:ascii="仿宋" w:eastAsia="仿宋" w:hAnsi="仿宋"/>
          <w:sz w:val="32"/>
          <w:szCs w:val="32"/>
        </w:rPr>
        <w:t>万元、本年收入</w:t>
      </w:r>
      <w:r>
        <w:rPr>
          <w:rFonts w:ascii="仿宋" w:eastAsia="仿宋" w:hAnsi="仿宋" w:hint="eastAsia"/>
          <w:sz w:val="32"/>
          <w:szCs w:val="32"/>
        </w:rPr>
        <w:t>228.33</w:t>
      </w:r>
      <w:r>
        <w:rPr>
          <w:rFonts w:ascii="仿宋" w:eastAsia="仿宋" w:hAnsi="仿宋"/>
          <w:sz w:val="32"/>
          <w:szCs w:val="32"/>
        </w:rPr>
        <w:t>万元；本年支出</w:t>
      </w:r>
      <w:r>
        <w:rPr>
          <w:rFonts w:ascii="仿宋" w:eastAsia="仿宋" w:hAnsi="仿宋" w:hint="eastAsia"/>
          <w:sz w:val="32"/>
          <w:szCs w:val="32"/>
        </w:rPr>
        <w:t>218.59</w:t>
      </w:r>
      <w:r>
        <w:rPr>
          <w:rFonts w:ascii="仿宋" w:eastAsia="仿宋" w:hAnsi="仿宋"/>
          <w:sz w:val="32"/>
          <w:szCs w:val="32"/>
        </w:rPr>
        <w:t>万元、年末结转和结余</w:t>
      </w:r>
      <w:r>
        <w:rPr>
          <w:rFonts w:ascii="仿宋" w:eastAsia="仿宋" w:hAnsi="仿宋" w:hint="eastAsia"/>
          <w:sz w:val="32"/>
          <w:szCs w:val="32"/>
        </w:rPr>
        <w:t>31.08</w:t>
      </w:r>
      <w:r>
        <w:rPr>
          <w:rFonts w:ascii="仿宋" w:eastAsia="仿宋" w:hAnsi="仿宋"/>
          <w:sz w:val="32"/>
          <w:szCs w:val="32"/>
        </w:rPr>
        <w:t>万元。与2016年度决算相比，一般公共预算财政拨款本</w:t>
      </w:r>
      <w:r>
        <w:rPr>
          <w:rFonts w:ascii="仿宋" w:eastAsia="仿宋" w:hAnsi="仿宋"/>
          <w:sz w:val="32"/>
          <w:szCs w:val="32"/>
        </w:rPr>
        <w:lastRenderedPageBreak/>
        <w:t>年收入增加</w:t>
      </w:r>
      <w:r>
        <w:rPr>
          <w:rFonts w:ascii="仿宋" w:eastAsia="仿宋" w:hAnsi="仿宋" w:hint="eastAsia"/>
          <w:sz w:val="32"/>
          <w:szCs w:val="32"/>
        </w:rPr>
        <w:t>35.66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18.51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财政拨款增加</w:t>
      </w:r>
      <w:r>
        <w:rPr>
          <w:rFonts w:ascii="仿宋" w:eastAsia="仿宋" w:hAnsi="仿宋"/>
          <w:sz w:val="32"/>
          <w:szCs w:val="32"/>
        </w:rPr>
        <w:t>；本年支出增加</w:t>
      </w:r>
      <w:r>
        <w:rPr>
          <w:rFonts w:ascii="仿宋" w:eastAsia="仿宋" w:hAnsi="仿宋" w:hint="eastAsia"/>
          <w:sz w:val="32"/>
          <w:szCs w:val="32"/>
        </w:rPr>
        <w:t>34.09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18.48</w:t>
      </w:r>
      <w:r>
        <w:rPr>
          <w:rFonts w:ascii="仿宋" w:eastAsia="仿宋" w:hAnsi="仿宋"/>
          <w:sz w:val="32"/>
          <w:szCs w:val="32"/>
        </w:rPr>
        <w:t>%，主要是原因是</w:t>
      </w:r>
      <w:r>
        <w:rPr>
          <w:rFonts w:ascii="仿宋" w:eastAsia="仿宋" w:hAnsi="仿宋" w:hint="eastAsia"/>
          <w:sz w:val="32"/>
          <w:szCs w:val="32"/>
        </w:rPr>
        <w:t>财政拨款增加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330D23">
      <w:pPr>
        <w:spacing w:line="584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（二）财政拨款收支与年初预算数对比情况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本部门2017年度一般公共预算财政拨款本年收入较2017年初预算减少</w:t>
      </w:r>
      <w:r>
        <w:rPr>
          <w:rFonts w:ascii="仿宋" w:eastAsia="仿宋" w:hAnsi="仿宋" w:hint="eastAsia"/>
          <w:sz w:val="32"/>
          <w:szCs w:val="32"/>
        </w:rPr>
        <w:t>12.31</w:t>
      </w:r>
      <w:r>
        <w:rPr>
          <w:rFonts w:ascii="仿宋" w:eastAsia="仿宋" w:hAnsi="仿宋"/>
          <w:sz w:val="32"/>
          <w:szCs w:val="32"/>
        </w:rPr>
        <w:t>万元，降低</w:t>
      </w:r>
      <w:r>
        <w:rPr>
          <w:rFonts w:ascii="仿宋" w:eastAsia="仿宋" w:hAnsi="仿宋" w:hint="eastAsia"/>
          <w:sz w:val="32"/>
          <w:szCs w:val="32"/>
        </w:rPr>
        <w:t>5.12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人员减少</w:t>
      </w:r>
      <w:r>
        <w:rPr>
          <w:rFonts w:ascii="仿宋" w:eastAsia="仿宋" w:hAnsi="仿宋"/>
          <w:sz w:val="32"/>
          <w:szCs w:val="32"/>
        </w:rPr>
        <w:t>；本年支出减少</w:t>
      </w:r>
      <w:r>
        <w:rPr>
          <w:rFonts w:ascii="仿宋" w:eastAsia="仿宋" w:hAnsi="仿宋" w:hint="eastAsia"/>
          <w:sz w:val="32"/>
          <w:szCs w:val="32"/>
        </w:rPr>
        <w:t>22.05</w:t>
      </w:r>
      <w:r>
        <w:rPr>
          <w:rFonts w:ascii="仿宋" w:eastAsia="仿宋" w:hAnsi="仿宋"/>
          <w:sz w:val="32"/>
          <w:szCs w:val="32"/>
        </w:rPr>
        <w:t>万元，降低</w:t>
      </w:r>
      <w:r>
        <w:rPr>
          <w:rFonts w:ascii="仿宋" w:eastAsia="仿宋" w:hAnsi="仿宋" w:hint="eastAsia"/>
          <w:sz w:val="32"/>
          <w:szCs w:val="32"/>
        </w:rPr>
        <w:t>9.16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人员减少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仿宋" w:eastAsia="仿宋" w:hAnsi="仿宋"/>
          <w:b w:val="0"/>
        </w:rPr>
      </w:pPr>
      <w:r>
        <w:rPr>
          <w:rFonts w:ascii="Times New Roman" w:eastAsia="黑体" w:hAnsi="Times New Roman"/>
          <w:b w:val="0"/>
        </w:rPr>
        <w:t>五、一般公共预算财政拨款</w:t>
      </w:r>
      <w:r>
        <w:rPr>
          <w:rFonts w:ascii="Times New Roman" w:eastAsia="黑体" w:hAnsi="Times New Roman"/>
          <w:b w:val="0"/>
        </w:rPr>
        <w:t>“</w:t>
      </w:r>
      <w:r>
        <w:rPr>
          <w:rFonts w:ascii="Times New Roman" w:eastAsia="黑体" w:hAnsi="Times New Roman"/>
          <w:b w:val="0"/>
        </w:rPr>
        <w:t>三公</w:t>
      </w:r>
      <w:r>
        <w:rPr>
          <w:rFonts w:ascii="Times New Roman" w:eastAsia="黑体" w:hAnsi="Times New Roman"/>
          <w:b w:val="0"/>
        </w:rPr>
        <w:t xml:space="preserve">” </w:t>
      </w:r>
      <w:r>
        <w:rPr>
          <w:rFonts w:ascii="Times New Roman" w:eastAsia="黑体" w:hAnsi="Times New Roman"/>
          <w:b w:val="0"/>
        </w:rPr>
        <w:t>经费支出决算情况说明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本部门2017年度一般公共预算财政拨款“三公”经费支出共计</w:t>
      </w:r>
      <w:r>
        <w:rPr>
          <w:rFonts w:ascii="仿宋" w:eastAsia="仿宋" w:hAnsi="仿宋" w:hint="eastAsia"/>
          <w:sz w:val="32"/>
          <w:szCs w:val="32"/>
        </w:rPr>
        <w:t>1.90</w:t>
      </w:r>
      <w:r>
        <w:rPr>
          <w:rFonts w:ascii="仿宋" w:eastAsia="仿宋" w:hAnsi="仿宋"/>
          <w:sz w:val="32"/>
          <w:szCs w:val="32"/>
        </w:rPr>
        <w:t>万元，较年初预算</w:t>
      </w:r>
      <w:r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/>
          <w:sz w:val="32"/>
          <w:szCs w:val="32"/>
        </w:rPr>
        <w:t>增减少</w:t>
      </w:r>
      <w:r>
        <w:rPr>
          <w:rFonts w:ascii="仿宋" w:eastAsia="仿宋" w:hAnsi="仿宋" w:hint="eastAsia"/>
          <w:sz w:val="32"/>
          <w:szCs w:val="32"/>
        </w:rPr>
        <w:t>变化；</w:t>
      </w:r>
      <w:r>
        <w:rPr>
          <w:rFonts w:ascii="仿宋" w:eastAsia="仿宋" w:hAnsi="仿宋"/>
          <w:sz w:val="32"/>
          <w:szCs w:val="32"/>
        </w:rPr>
        <w:t>较2016年度决算增加</w:t>
      </w:r>
      <w:r>
        <w:rPr>
          <w:rFonts w:ascii="仿宋" w:eastAsia="仿宋" w:hAnsi="仿宋" w:hint="eastAsia"/>
          <w:sz w:val="32"/>
          <w:szCs w:val="32"/>
        </w:rPr>
        <w:t>0.02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1.06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维护费用增加</w:t>
      </w:r>
      <w:r>
        <w:rPr>
          <w:rFonts w:ascii="仿宋" w:eastAsia="仿宋" w:hAnsi="仿宋"/>
          <w:sz w:val="32"/>
          <w:szCs w:val="32"/>
        </w:rPr>
        <w:t>。具体情况如下：</w:t>
      </w:r>
    </w:p>
    <w:p w:rsidR="00FB3073" w:rsidRDefault="00FB3073" w:rsidP="00FB3073">
      <w:pPr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（一）因公出国（境）费支出0万元。</w:t>
      </w:r>
    </w:p>
    <w:p w:rsidR="00FB3073" w:rsidRDefault="00FB3073" w:rsidP="00FB30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本部门2017年度因公出国（境）团组0个，因公出国（境）人次数0人。因公出国（境）费支出较年初预算无增减变化，主要原因无；较2016年度决算无增减变化，主要原因无。</w:t>
      </w:r>
    </w:p>
    <w:p w:rsidR="00EB675F" w:rsidRDefault="00330D23">
      <w:pPr>
        <w:adjustRightInd w:val="0"/>
        <w:snapToGrid w:val="0"/>
        <w:spacing w:line="584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（二）公务用车购置及运行维护费支出</w:t>
      </w:r>
      <w:r>
        <w:rPr>
          <w:rFonts w:ascii="楷体" w:eastAsia="楷体" w:hAnsi="楷体" w:hint="eastAsia"/>
          <w:b/>
          <w:bCs/>
          <w:sz w:val="32"/>
          <w:szCs w:val="32"/>
        </w:rPr>
        <w:t>1.90</w:t>
      </w:r>
      <w:r>
        <w:rPr>
          <w:rFonts w:ascii="楷体" w:eastAsia="楷体" w:hAnsi="楷体"/>
          <w:b/>
          <w:bCs/>
          <w:sz w:val="32"/>
          <w:szCs w:val="32"/>
        </w:rPr>
        <w:t>万元。其中：</w:t>
      </w:r>
    </w:p>
    <w:p w:rsidR="00EB675F" w:rsidRDefault="00330D23" w:rsidP="00EF5245">
      <w:pPr>
        <w:adjustRightInd w:val="0"/>
        <w:snapToGrid w:val="0"/>
        <w:spacing w:line="584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公务用车购置费支出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/>
          <w:b/>
          <w:sz w:val="32"/>
          <w:szCs w:val="32"/>
        </w:rPr>
        <w:t>万元。</w:t>
      </w:r>
      <w:r>
        <w:rPr>
          <w:rFonts w:ascii="仿宋" w:eastAsia="仿宋" w:hAnsi="仿宋"/>
          <w:sz w:val="32"/>
          <w:szCs w:val="32"/>
        </w:rPr>
        <w:t>本部门2017年度</w:t>
      </w:r>
      <w:r>
        <w:rPr>
          <w:rFonts w:ascii="仿宋" w:eastAsia="仿宋" w:hAnsi="仿宋" w:hint="eastAsia"/>
          <w:sz w:val="32"/>
          <w:szCs w:val="32"/>
        </w:rPr>
        <w:t>未发生</w:t>
      </w:r>
      <w:r>
        <w:rPr>
          <w:rFonts w:ascii="仿宋" w:eastAsia="仿宋" w:hAnsi="仿宋"/>
          <w:sz w:val="32"/>
          <w:szCs w:val="32"/>
        </w:rPr>
        <w:t>公务用车购置</w:t>
      </w:r>
      <w:r>
        <w:rPr>
          <w:rFonts w:ascii="仿宋" w:eastAsia="仿宋" w:hAnsi="仿宋" w:hint="eastAsia"/>
          <w:sz w:val="32"/>
          <w:szCs w:val="32"/>
        </w:rPr>
        <w:t>经费支出</w:t>
      </w:r>
      <w:r>
        <w:rPr>
          <w:rFonts w:ascii="仿宋" w:eastAsia="仿宋" w:hAnsi="仿宋"/>
          <w:sz w:val="32"/>
          <w:szCs w:val="32"/>
        </w:rPr>
        <w:t>。公务用车购置费支出较年初预算</w:t>
      </w:r>
      <w:r>
        <w:rPr>
          <w:rFonts w:ascii="仿宋" w:eastAsia="仿宋" w:hAnsi="仿宋" w:hint="eastAsia"/>
          <w:sz w:val="32"/>
          <w:szCs w:val="32"/>
        </w:rPr>
        <w:t>无增减变化</w:t>
      </w:r>
      <w:r>
        <w:rPr>
          <w:rFonts w:ascii="仿宋" w:eastAsia="仿宋" w:hAnsi="仿宋"/>
          <w:sz w:val="32"/>
          <w:szCs w:val="32"/>
        </w:rPr>
        <w:t>；较2016年度决算</w:t>
      </w:r>
      <w:r>
        <w:rPr>
          <w:rFonts w:ascii="仿宋" w:eastAsia="仿宋" w:hAnsi="仿宋" w:hint="eastAsia"/>
          <w:sz w:val="32"/>
          <w:szCs w:val="32"/>
        </w:rPr>
        <w:t>无增减变化。</w:t>
      </w:r>
    </w:p>
    <w:p w:rsidR="00EB675F" w:rsidRDefault="00330D23" w:rsidP="00EF5245">
      <w:pPr>
        <w:adjustRightInd w:val="0"/>
        <w:snapToGrid w:val="0"/>
        <w:spacing w:line="584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公务用车运行维护费支出</w:t>
      </w:r>
      <w:r>
        <w:rPr>
          <w:rFonts w:ascii="仿宋" w:eastAsia="仿宋" w:hAnsi="仿宋" w:hint="eastAsia"/>
          <w:b/>
          <w:sz w:val="32"/>
          <w:szCs w:val="32"/>
        </w:rPr>
        <w:t>1.90</w:t>
      </w:r>
      <w:r>
        <w:rPr>
          <w:rFonts w:ascii="仿宋" w:eastAsia="仿宋" w:hAnsi="仿宋"/>
          <w:b/>
          <w:sz w:val="32"/>
          <w:szCs w:val="32"/>
        </w:rPr>
        <w:t>万元。</w:t>
      </w:r>
      <w:r>
        <w:rPr>
          <w:rFonts w:ascii="仿宋" w:eastAsia="仿宋" w:hAnsi="仿宋"/>
          <w:sz w:val="32"/>
          <w:szCs w:val="32"/>
        </w:rPr>
        <w:t>本部门2017年末单位公务用车保有量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辆。公车运行维护费支出较年初预算</w:t>
      </w:r>
      <w:r>
        <w:rPr>
          <w:rFonts w:ascii="仿宋" w:eastAsia="仿宋" w:hAnsi="仿宋" w:hint="eastAsia"/>
          <w:sz w:val="32"/>
          <w:szCs w:val="32"/>
        </w:rPr>
        <w:t>无增减变化</w:t>
      </w:r>
      <w:r>
        <w:rPr>
          <w:rFonts w:ascii="仿宋" w:eastAsia="仿宋" w:hAnsi="仿宋"/>
          <w:sz w:val="32"/>
          <w:szCs w:val="32"/>
        </w:rPr>
        <w:t>；较2016年度决算增加</w:t>
      </w:r>
      <w:r>
        <w:rPr>
          <w:rFonts w:ascii="仿宋" w:eastAsia="仿宋" w:hAnsi="仿宋" w:hint="eastAsia"/>
          <w:sz w:val="32"/>
          <w:szCs w:val="32"/>
        </w:rPr>
        <w:t>0.02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1.06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维护费用增加</w:t>
      </w:r>
      <w:r>
        <w:rPr>
          <w:rFonts w:ascii="仿宋" w:eastAsia="仿宋" w:hAnsi="仿宋"/>
          <w:sz w:val="32"/>
          <w:szCs w:val="32"/>
        </w:rPr>
        <w:t>。</w:t>
      </w:r>
    </w:p>
    <w:p w:rsidR="00FB3073" w:rsidRDefault="00330D23" w:rsidP="00FB3073">
      <w:pPr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（三）</w:t>
      </w:r>
      <w:r w:rsidR="00FB3073">
        <w:rPr>
          <w:rFonts w:ascii="仿宋" w:eastAsia="仿宋" w:hAnsi="仿宋" w:cs="仿宋" w:hint="eastAsia"/>
          <w:b/>
          <w:bCs/>
          <w:sz w:val="32"/>
          <w:szCs w:val="32"/>
        </w:rPr>
        <w:t>（三）公务接待费支出0万元。</w:t>
      </w:r>
      <w:r w:rsidR="00FB3073">
        <w:rPr>
          <w:rFonts w:ascii="仿宋" w:eastAsia="仿宋" w:hAnsi="仿宋" w:cs="仿宋" w:hint="eastAsia"/>
          <w:sz w:val="32"/>
          <w:szCs w:val="32"/>
        </w:rPr>
        <w:t>本部门2017年度公务接待共0批次、0人次。公务接待费支出较年初预算无增减变化，主要原因无；较2016年度决算无增减变化，主要原因无。</w:t>
      </w:r>
    </w:p>
    <w:p w:rsidR="00EB675F" w:rsidRDefault="00330D23" w:rsidP="00FB3073">
      <w:pPr>
        <w:adjustRightInd w:val="0"/>
        <w:snapToGrid w:val="0"/>
        <w:spacing w:line="584" w:lineRule="exact"/>
        <w:ind w:firstLineChars="200" w:firstLine="420"/>
        <w:rPr>
          <w:rFonts w:eastAsia="黑体"/>
          <w:b/>
        </w:rPr>
      </w:pPr>
      <w:r>
        <w:rPr>
          <w:rFonts w:eastAsia="黑体"/>
        </w:rPr>
        <w:t>六、绩效预算</w:t>
      </w:r>
      <w:r>
        <w:rPr>
          <w:rFonts w:eastAsia="黑体"/>
          <w:kern w:val="0"/>
        </w:rPr>
        <w:t>管理</w:t>
      </w:r>
      <w:r>
        <w:rPr>
          <w:rFonts w:eastAsia="黑体"/>
        </w:rPr>
        <w:t>工作开展情况说明</w:t>
      </w:r>
    </w:p>
    <w:p w:rsidR="00EB675F" w:rsidRDefault="00330D23">
      <w:pPr>
        <w:widowControl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我部门认真按照《河北省预算绩效管理办法（试行）》、《河北省财政支出绩效评价管理办法》等制度规定，严格评价标准，准确把握绩效评价的内容与方法，确保评价质量。为了提高财政资金使用效益和效率，实现财政资金的规范性、安全性和有效性，按照《河北省人民政府关于深化推进预算绩效管理的意见》遵循“客观公正、公开透明”的原则，积极开展工作。</w:t>
      </w:r>
    </w:p>
    <w:p w:rsidR="00EB675F" w:rsidRDefault="00330D23">
      <w:pPr>
        <w:widowControl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一是制定绩效管理自评方案，进一步明确了评价工作的指导思想、方法步骤，细化了应达到的绩效目标和相应的绩效指标，完善了绩效评价工作体系。二是按照经济性、效率性、有效性的原则，定量分析与定性分析相结合的原则，真实性、科学性、规范性的原则，对重点项目制定绩效评价实施方案和绩效指标评价体系。</w:t>
      </w:r>
    </w:p>
    <w:p w:rsidR="00EB675F" w:rsidRDefault="00330D23">
      <w:pPr>
        <w:widowControl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通过开展2017年专项项目绩效评价，我部门社会效益良好，绩效综合评价等级“优”。通过绩效评价，促进了项目管理水平的提高，进一步完善了规章制度；明确了各项目绩效目标，合理设置内容全面、可操作性强的绩效评价指标，达到了绩效考核的目的。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七、其他重要事项的说明</w:t>
      </w:r>
      <w:bookmarkStart w:id="0" w:name="_GoBack"/>
      <w:bookmarkEnd w:id="0"/>
    </w:p>
    <w:p w:rsidR="00EB675F" w:rsidRDefault="00330D23">
      <w:pPr>
        <w:pStyle w:val="3"/>
        <w:spacing w:before="0" w:after="0" w:line="584" w:lineRule="exact"/>
        <w:ind w:firstLineChars="200" w:firstLine="643"/>
        <w:rPr>
          <w:rFonts w:ascii="楷体" w:eastAsia="楷体" w:hAnsi="楷体"/>
        </w:rPr>
      </w:pPr>
      <w:r>
        <w:rPr>
          <w:rFonts w:ascii="楷体" w:eastAsia="楷体" w:hAnsi="楷体"/>
        </w:rPr>
        <w:t>（一）机关运行经费情况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本部门2017年度机关运行经费支出</w:t>
      </w:r>
      <w:r>
        <w:rPr>
          <w:rFonts w:ascii="仿宋" w:eastAsia="仿宋" w:hAnsi="仿宋" w:hint="eastAsia"/>
          <w:sz w:val="32"/>
          <w:szCs w:val="32"/>
        </w:rPr>
        <w:t>35.46</w:t>
      </w:r>
      <w:r>
        <w:rPr>
          <w:rFonts w:ascii="仿宋" w:eastAsia="仿宋" w:hAnsi="仿宋"/>
          <w:sz w:val="32"/>
          <w:szCs w:val="32"/>
        </w:rPr>
        <w:t>万元，比2016年度增加</w:t>
      </w:r>
      <w:r>
        <w:rPr>
          <w:rFonts w:ascii="仿宋" w:eastAsia="仿宋" w:hAnsi="仿宋" w:hint="eastAsia"/>
          <w:sz w:val="32"/>
          <w:szCs w:val="32"/>
        </w:rPr>
        <w:t>8.30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29.27</w:t>
      </w:r>
      <w:r>
        <w:rPr>
          <w:rFonts w:ascii="仿宋" w:eastAsia="仿宋" w:hAnsi="仿宋"/>
          <w:sz w:val="32"/>
          <w:szCs w:val="32"/>
        </w:rPr>
        <w:t>%。主要原因是</w:t>
      </w:r>
      <w:r>
        <w:rPr>
          <w:rFonts w:ascii="仿宋" w:eastAsia="仿宋" w:hAnsi="仿宋" w:hint="eastAsia"/>
          <w:sz w:val="32"/>
          <w:szCs w:val="32"/>
        </w:rPr>
        <w:t>业务增加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330D23">
      <w:pPr>
        <w:pStyle w:val="3"/>
        <w:spacing w:before="0" w:after="0" w:line="584" w:lineRule="exact"/>
        <w:ind w:firstLineChars="200" w:firstLine="643"/>
        <w:rPr>
          <w:rFonts w:ascii="楷体" w:eastAsia="楷体" w:hAnsi="楷体"/>
        </w:rPr>
      </w:pPr>
      <w:r>
        <w:rPr>
          <w:rFonts w:ascii="楷体" w:eastAsia="楷体" w:hAnsi="楷体"/>
        </w:rPr>
        <w:t>（二）政府采购情况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本部门2017年度政府采购支出总额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万元，其中：政府采购货物支出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万元、政府采购工程支出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万元、政府采购服务支出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万元。</w:t>
      </w:r>
    </w:p>
    <w:p w:rsidR="00EB675F" w:rsidRDefault="00330D23">
      <w:pPr>
        <w:pStyle w:val="3"/>
        <w:spacing w:before="0" w:after="0" w:line="584" w:lineRule="exact"/>
        <w:ind w:firstLineChars="200" w:firstLine="643"/>
        <w:rPr>
          <w:rFonts w:ascii="楷体" w:eastAsia="楷体" w:hAnsi="楷体"/>
        </w:rPr>
      </w:pPr>
      <w:r>
        <w:rPr>
          <w:rFonts w:ascii="楷体" w:eastAsia="楷体" w:hAnsi="楷体"/>
        </w:rPr>
        <w:t>（三）国有资产占用情况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截至2017年12月31日，本部门共有车辆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辆，其中，市级领导干部用车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辆、一般公务用车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辆、一般执法执勤用车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辆、特种专业技术用车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辆、其他用车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辆，；单位价值50万元以上大型设备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台（套），单位价值100万元以上大型设备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台（套）。</w:t>
      </w:r>
    </w:p>
    <w:p w:rsidR="00EB675F" w:rsidRDefault="00330D23">
      <w:pPr>
        <w:pStyle w:val="3"/>
        <w:spacing w:before="0" w:after="0" w:line="584" w:lineRule="exact"/>
        <w:ind w:firstLineChars="200" w:firstLine="643"/>
        <w:rPr>
          <w:rFonts w:ascii="楷体" w:eastAsia="楷体" w:hAnsi="楷体"/>
        </w:rPr>
      </w:pPr>
      <w:r>
        <w:rPr>
          <w:rFonts w:ascii="楷体" w:eastAsia="楷体" w:hAnsi="楷体"/>
        </w:rPr>
        <w:t>（四）其他需要说明的情况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1、本部门2017年度</w:t>
      </w:r>
      <w:r>
        <w:rPr>
          <w:rFonts w:ascii="仿宋" w:eastAsia="仿宋" w:hAnsi="仿宋" w:hint="eastAsia"/>
          <w:sz w:val="32"/>
          <w:szCs w:val="32"/>
        </w:rPr>
        <w:t>政府性基金预算财政拨款</w:t>
      </w:r>
      <w:r>
        <w:rPr>
          <w:rFonts w:ascii="仿宋" w:eastAsia="仿宋" w:hAnsi="仿宋"/>
          <w:sz w:val="32"/>
          <w:szCs w:val="32"/>
        </w:rPr>
        <w:t>无收支及结转</w:t>
      </w:r>
      <w:r>
        <w:rPr>
          <w:rFonts w:ascii="仿宋" w:eastAsia="仿宋" w:hAnsi="仿宋"/>
          <w:sz w:val="32"/>
          <w:szCs w:val="32"/>
        </w:rPr>
        <w:lastRenderedPageBreak/>
        <w:t>结余情况，故</w:t>
      </w:r>
      <w:r>
        <w:rPr>
          <w:rFonts w:ascii="仿宋" w:eastAsia="仿宋" w:hAnsi="仿宋" w:hint="eastAsia"/>
          <w:sz w:val="32"/>
          <w:szCs w:val="32"/>
        </w:rPr>
        <w:t>财决批复07</w:t>
      </w:r>
      <w:r>
        <w:rPr>
          <w:rFonts w:ascii="仿宋" w:eastAsia="仿宋" w:hAnsi="仿宋"/>
          <w:sz w:val="32"/>
          <w:szCs w:val="32"/>
        </w:rPr>
        <w:t>表以空表列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本部门2017年度</w:t>
      </w:r>
      <w:r>
        <w:rPr>
          <w:rFonts w:ascii="仿宋" w:eastAsia="仿宋" w:hAnsi="仿宋" w:hint="eastAsia"/>
          <w:sz w:val="32"/>
          <w:szCs w:val="32"/>
        </w:rPr>
        <w:t>国有资本经营预算财政拨款</w:t>
      </w:r>
      <w:r>
        <w:rPr>
          <w:rFonts w:ascii="仿宋" w:eastAsia="仿宋" w:hAnsi="仿宋"/>
          <w:sz w:val="32"/>
          <w:szCs w:val="32"/>
        </w:rPr>
        <w:t>无收支及结转结余情况，故</w:t>
      </w:r>
      <w:r>
        <w:rPr>
          <w:rFonts w:ascii="仿宋" w:eastAsia="仿宋" w:hAnsi="仿宋" w:hint="eastAsia"/>
          <w:sz w:val="32"/>
          <w:szCs w:val="32"/>
        </w:rPr>
        <w:t>财决公开08</w:t>
      </w:r>
      <w:r>
        <w:rPr>
          <w:rFonts w:ascii="仿宋" w:eastAsia="仿宋" w:hAnsi="仿宋"/>
          <w:sz w:val="32"/>
          <w:szCs w:val="32"/>
        </w:rPr>
        <w:t>表以空表列。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2、由于决算公开表格中金额数值应当保留两位小数，公开数据为四舍五入计算结果，个别数据合计项与分项之和存在小数点后差额，特此说明。</w:t>
      </w: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/>
      </w: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sectPr w:rsidR="00EB675F" w:rsidSect="0077019A">
      <w:pgSz w:w="11906" w:h="16838"/>
      <w:pgMar w:top="1984" w:right="1531" w:bottom="1984" w:left="1531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19" w:rsidRDefault="00B04819" w:rsidP="00EB675F">
      <w:r>
        <w:separator/>
      </w:r>
    </w:p>
  </w:endnote>
  <w:endnote w:type="continuationSeparator" w:id="0">
    <w:p w:rsidR="00B04819" w:rsidRDefault="00B04819" w:rsidP="00EB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19" w:rsidRDefault="00B04819" w:rsidP="00EB675F">
      <w:r>
        <w:separator/>
      </w:r>
    </w:p>
  </w:footnote>
  <w:footnote w:type="continuationSeparator" w:id="0">
    <w:p w:rsidR="00B04819" w:rsidRDefault="00B04819" w:rsidP="00EB6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B5EC66"/>
    <w:multiLevelType w:val="singleLevel"/>
    <w:tmpl w:val="B3B5EC6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AC5897"/>
    <w:rsid w:val="002B080D"/>
    <w:rsid w:val="00330D23"/>
    <w:rsid w:val="00594864"/>
    <w:rsid w:val="0077019A"/>
    <w:rsid w:val="007D798D"/>
    <w:rsid w:val="00B04819"/>
    <w:rsid w:val="00DD2FA9"/>
    <w:rsid w:val="00EB675F"/>
    <w:rsid w:val="00EF5245"/>
    <w:rsid w:val="00FB3073"/>
    <w:rsid w:val="28AC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EB67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EB675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rsid w:val="00EB67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291</Characters>
  <Application>Microsoft Office Word</Application>
  <DocSecurity>0</DocSecurity>
  <Lines>2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栀子花</dc:creator>
  <cp:lastModifiedBy>Administrator</cp:lastModifiedBy>
  <cp:revision>2</cp:revision>
  <dcterms:created xsi:type="dcterms:W3CDTF">2019-01-22T08:56:00Z</dcterms:created>
  <dcterms:modified xsi:type="dcterms:W3CDTF">2019-01-22T08:56:00Z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